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B4E121">
      <w:pPr>
        <w:spacing w:line="360" w:lineRule="auto"/>
        <w:jc w:val="left"/>
        <w:outlineLvl w:val="0"/>
        <w:rPr>
          <w:rFonts w:hint="eastAsia" w:ascii="黑体" w:hAnsi="华文细黑" w:eastAsia="黑体"/>
          <w:sz w:val="24"/>
        </w:rPr>
      </w:pPr>
      <w:r>
        <w:rPr>
          <w:rFonts w:hint="eastAsia" w:ascii="黑体" w:hAnsi="华文细黑" w:eastAsia="黑体"/>
          <w:sz w:val="24"/>
        </w:rPr>
        <w:t>附件1</w:t>
      </w:r>
      <w:bookmarkStart w:id="0" w:name="_GoBack"/>
      <w:bookmarkEnd w:id="0"/>
    </w:p>
    <w:p w14:paraId="282B9AF8">
      <w:pPr>
        <w:spacing w:before="156" w:beforeLines="50" w:line="360" w:lineRule="auto"/>
        <w:jc w:val="center"/>
        <w:rPr>
          <w:rFonts w:ascii="黑体" w:eastAsia="黑体"/>
          <w:sz w:val="28"/>
        </w:rPr>
      </w:pPr>
      <w:r>
        <w:rPr>
          <w:rFonts w:hint="eastAsia" w:ascii="黑体" w:eastAsia="黑体"/>
          <w:sz w:val="28"/>
        </w:rPr>
        <w:t>中国造船工程学会标准制修订项目立项申请书</w:t>
      </w:r>
    </w:p>
    <w:tbl>
      <w:tblPr>
        <w:tblStyle w:val="6"/>
        <w:tblW w:w="92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2171"/>
        <w:gridCol w:w="850"/>
        <w:gridCol w:w="851"/>
        <w:gridCol w:w="3383"/>
      </w:tblGrid>
      <w:tr w14:paraId="3A2F2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1980" w:type="dxa"/>
            <w:vAlign w:val="center"/>
          </w:tcPr>
          <w:p w14:paraId="48F465F0">
            <w:pPr>
              <w:rPr>
                <w:sz w:val="24"/>
              </w:rPr>
            </w:pPr>
            <w:r>
              <w:rPr>
                <w:rFonts w:hint="eastAsia"/>
                <w:sz w:val="24"/>
              </w:rPr>
              <w:t>项目名称（中文）</w:t>
            </w:r>
          </w:p>
        </w:tc>
        <w:tc>
          <w:tcPr>
            <w:tcW w:w="7255" w:type="dxa"/>
            <w:gridSpan w:val="4"/>
            <w:vAlign w:val="center"/>
          </w:tcPr>
          <w:p w14:paraId="38DEEC91">
            <w:pPr>
              <w:jc w:val="center"/>
              <w:rPr>
                <w:sz w:val="24"/>
              </w:rPr>
            </w:pPr>
            <w:r>
              <w:rPr>
                <w:rFonts w:hint="eastAsia"/>
                <w:sz w:val="24"/>
              </w:rPr>
              <w:t>沿海内河船舶自动靠离泊系统设计要求</w:t>
            </w:r>
          </w:p>
        </w:tc>
      </w:tr>
      <w:tr w14:paraId="2141A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1980" w:type="dxa"/>
            <w:vAlign w:val="center"/>
          </w:tcPr>
          <w:p w14:paraId="59294DA9">
            <w:pPr>
              <w:rPr>
                <w:sz w:val="24"/>
              </w:rPr>
            </w:pPr>
            <w:r>
              <w:rPr>
                <w:rFonts w:hint="eastAsia"/>
                <w:sz w:val="24"/>
              </w:rPr>
              <w:t>项目名称（英文）</w:t>
            </w:r>
          </w:p>
        </w:tc>
        <w:tc>
          <w:tcPr>
            <w:tcW w:w="7255" w:type="dxa"/>
            <w:gridSpan w:val="4"/>
            <w:vAlign w:val="center"/>
          </w:tcPr>
          <w:p w14:paraId="7A0130A5">
            <w:pPr>
              <w:jc w:val="center"/>
              <w:rPr>
                <w:sz w:val="24"/>
              </w:rPr>
            </w:pPr>
            <w:r>
              <w:rPr>
                <w:rFonts w:hint="eastAsia" w:ascii="宋体" w:hAnsi="Calibri" w:eastAsia="宋体"/>
                <w:sz w:val="24"/>
              </w:rPr>
              <w:t xml:space="preserve">Design </w:t>
            </w:r>
            <w:r>
              <w:rPr>
                <w:rFonts w:hint="eastAsia" w:ascii="宋体" w:hAnsi="Calibri" w:eastAsia="宋体"/>
                <w:sz w:val="24"/>
                <w:lang w:val="en-US" w:eastAsia="zh-CN"/>
              </w:rPr>
              <w:t>R</w:t>
            </w:r>
            <w:r>
              <w:rPr>
                <w:rFonts w:hint="eastAsia" w:ascii="宋体" w:hAnsi="Calibri" w:eastAsia="宋体"/>
                <w:sz w:val="24"/>
              </w:rPr>
              <w:t xml:space="preserve">equirement for </w:t>
            </w:r>
            <w:r>
              <w:rPr>
                <w:rFonts w:hint="eastAsia"/>
                <w:sz w:val="24"/>
                <w:lang w:val="en-US" w:eastAsia="zh-CN"/>
              </w:rPr>
              <w:t>A</w:t>
            </w:r>
            <w:r>
              <w:rPr>
                <w:sz w:val="24"/>
              </w:rPr>
              <w:t xml:space="preserve">utomatic </w:t>
            </w:r>
            <w:r>
              <w:rPr>
                <w:rFonts w:hint="eastAsia"/>
                <w:sz w:val="24"/>
                <w:lang w:val="en-US" w:eastAsia="zh-CN"/>
              </w:rPr>
              <w:t>B</w:t>
            </w:r>
            <w:r>
              <w:rPr>
                <w:sz w:val="24"/>
              </w:rPr>
              <w:t xml:space="preserve">erthing and </w:t>
            </w:r>
            <w:r>
              <w:rPr>
                <w:rFonts w:hint="eastAsia"/>
                <w:sz w:val="24"/>
                <w:lang w:val="en-US" w:eastAsia="zh-CN"/>
              </w:rPr>
              <w:t>U</w:t>
            </w:r>
            <w:r>
              <w:rPr>
                <w:sz w:val="24"/>
              </w:rPr>
              <w:t xml:space="preserve">nberthing </w:t>
            </w:r>
            <w:r>
              <w:rPr>
                <w:rFonts w:hint="eastAsia"/>
                <w:sz w:val="24"/>
                <w:lang w:val="en-US" w:eastAsia="zh-CN"/>
              </w:rPr>
              <w:t>S</w:t>
            </w:r>
            <w:r>
              <w:rPr>
                <w:sz w:val="24"/>
              </w:rPr>
              <w:t>ystem</w:t>
            </w:r>
            <w:r>
              <w:rPr>
                <w:rFonts w:hint="eastAsia"/>
                <w:sz w:val="24"/>
              </w:rPr>
              <w:t xml:space="preserve"> of </w:t>
            </w:r>
            <w:r>
              <w:rPr>
                <w:sz w:val="24"/>
                <w:lang w:val="en-US"/>
              </w:rPr>
              <w:t>Coastal and Inland Waterway Vessels</w:t>
            </w:r>
          </w:p>
        </w:tc>
      </w:tr>
      <w:tr w14:paraId="0841A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980" w:type="dxa"/>
            <w:vAlign w:val="center"/>
          </w:tcPr>
          <w:p w14:paraId="764B3A00">
            <w:pPr>
              <w:jc w:val="center"/>
              <w:rPr>
                <w:sz w:val="24"/>
              </w:rPr>
            </w:pPr>
            <w:r>
              <w:rPr>
                <w:rFonts w:hint="eastAsia"/>
                <w:sz w:val="24"/>
              </w:rPr>
              <w:t>制修订</w:t>
            </w:r>
          </w:p>
        </w:tc>
        <w:tc>
          <w:tcPr>
            <w:tcW w:w="2171" w:type="dxa"/>
            <w:vAlign w:val="center"/>
          </w:tcPr>
          <w:p w14:paraId="56232C3E">
            <w:pPr>
              <w:jc w:val="center"/>
              <w:rPr>
                <w:sz w:val="24"/>
              </w:rPr>
            </w:pPr>
            <w:r>
              <w:rPr>
                <w:rFonts w:hint="eastAsia" w:hAnsiTheme="minorEastAsia"/>
                <w:sz w:val="24"/>
                <w:lang w:eastAsia="zh-CN"/>
              </w:rPr>
              <w:t>☑</w:t>
            </w:r>
            <w:r>
              <w:rPr>
                <w:rFonts w:hint="eastAsia" w:hAnsiTheme="minorEastAsia"/>
                <w:sz w:val="24"/>
              </w:rPr>
              <w:t>制定   □修订</w:t>
            </w:r>
          </w:p>
        </w:tc>
        <w:tc>
          <w:tcPr>
            <w:tcW w:w="1701" w:type="dxa"/>
            <w:gridSpan w:val="2"/>
            <w:vAlign w:val="center"/>
          </w:tcPr>
          <w:p w14:paraId="0CA43BD5">
            <w:pPr>
              <w:jc w:val="center"/>
              <w:rPr>
                <w:sz w:val="24"/>
              </w:rPr>
            </w:pPr>
            <w:r>
              <w:rPr>
                <w:rFonts w:hint="eastAsia"/>
                <w:sz w:val="24"/>
              </w:rPr>
              <w:t>被修订标准号</w:t>
            </w:r>
          </w:p>
        </w:tc>
        <w:tc>
          <w:tcPr>
            <w:tcW w:w="3383" w:type="dxa"/>
            <w:vAlign w:val="center"/>
          </w:tcPr>
          <w:p w14:paraId="10E4C0E8">
            <w:pPr>
              <w:rPr>
                <w:sz w:val="24"/>
              </w:rPr>
            </w:pPr>
            <w:r>
              <w:rPr>
                <w:rFonts w:hint="eastAsia"/>
                <w:sz w:val="24"/>
              </w:rPr>
              <w:t xml:space="preserve">   </w:t>
            </w:r>
          </w:p>
        </w:tc>
      </w:tr>
      <w:tr w14:paraId="782E9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980" w:type="dxa"/>
            <w:vAlign w:val="center"/>
          </w:tcPr>
          <w:p w14:paraId="4E3DA8F8">
            <w:pPr>
              <w:jc w:val="center"/>
              <w:rPr>
                <w:sz w:val="24"/>
              </w:rPr>
            </w:pPr>
            <w:r>
              <w:rPr>
                <w:rFonts w:hint="eastAsia"/>
                <w:sz w:val="24"/>
              </w:rPr>
              <w:t>被修订标准名称</w:t>
            </w:r>
          </w:p>
        </w:tc>
        <w:tc>
          <w:tcPr>
            <w:tcW w:w="2171" w:type="dxa"/>
            <w:vAlign w:val="center"/>
          </w:tcPr>
          <w:p w14:paraId="43772EE7">
            <w:pPr>
              <w:rPr>
                <w:rFonts w:hint="eastAsia" w:hAnsiTheme="minorEastAsia"/>
                <w:i/>
                <w:iCs/>
                <w:sz w:val="24"/>
                <w:highlight w:val="yellow"/>
              </w:rPr>
            </w:pPr>
          </w:p>
        </w:tc>
        <w:tc>
          <w:tcPr>
            <w:tcW w:w="1701" w:type="dxa"/>
            <w:gridSpan w:val="2"/>
            <w:vAlign w:val="center"/>
          </w:tcPr>
          <w:p w14:paraId="78B88DD6">
            <w:pPr>
              <w:jc w:val="center"/>
              <w:rPr>
                <w:sz w:val="24"/>
              </w:rPr>
            </w:pPr>
            <w:r>
              <w:rPr>
                <w:rFonts w:hint="eastAsia"/>
                <w:sz w:val="24"/>
              </w:rPr>
              <w:t>编制周期</w:t>
            </w:r>
          </w:p>
        </w:tc>
        <w:tc>
          <w:tcPr>
            <w:tcW w:w="3383" w:type="dxa"/>
            <w:vAlign w:val="center"/>
          </w:tcPr>
          <w:p w14:paraId="7CFE5FAB">
            <w:pPr>
              <w:rPr>
                <w:rFonts w:hint="eastAsia" w:hAnsiTheme="minorEastAsia"/>
                <w:sz w:val="24"/>
              </w:rPr>
            </w:pPr>
            <w:r>
              <w:rPr>
                <w:rFonts w:hint="eastAsia" w:hAnsiTheme="minorEastAsia"/>
                <w:sz w:val="24"/>
                <w:lang w:eastAsia="zh-CN"/>
              </w:rPr>
              <w:t>☑</w:t>
            </w:r>
            <w:r>
              <w:rPr>
                <w:rFonts w:hint="eastAsia" w:hAnsiTheme="minorEastAsia"/>
                <w:sz w:val="24"/>
              </w:rPr>
              <w:t xml:space="preserve">12个月  □18个月   </w:t>
            </w:r>
          </w:p>
          <w:p w14:paraId="3C61394A">
            <w:pPr>
              <w:rPr>
                <w:sz w:val="24"/>
              </w:rPr>
            </w:pPr>
            <w:r>
              <w:rPr>
                <w:rFonts w:hint="eastAsia" w:hAnsiTheme="minorEastAsia"/>
                <w:sz w:val="24"/>
              </w:rPr>
              <w:t>□其他</w:t>
            </w:r>
            <w:r>
              <w:rPr>
                <w:rFonts w:hint="eastAsia" w:hAnsiTheme="minorEastAsia"/>
                <w:sz w:val="24"/>
                <w:u w:val="single"/>
              </w:rPr>
              <w:t xml:space="preserve">         </w:t>
            </w:r>
          </w:p>
        </w:tc>
      </w:tr>
      <w:tr w14:paraId="42804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980" w:type="dxa"/>
            <w:vAlign w:val="center"/>
          </w:tcPr>
          <w:p w14:paraId="157EDA40">
            <w:pPr>
              <w:jc w:val="center"/>
              <w:rPr>
                <w:sz w:val="24"/>
              </w:rPr>
            </w:pPr>
            <w:r>
              <w:rPr>
                <w:rFonts w:hint="eastAsia"/>
                <w:sz w:val="24"/>
              </w:rPr>
              <w:t>起草单位</w:t>
            </w:r>
          </w:p>
          <w:p w14:paraId="340201C8">
            <w:pPr>
              <w:jc w:val="center"/>
              <w:rPr>
                <w:sz w:val="24"/>
              </w:rPr>
            </w:pPr>
            <w:r>
              <w:rPr>
                <w:rFonts w:hint="eastAsia"/>
                <w:sz w:val="24"/>
              </w:rPr>
              <w:t>（不少于3家）</w:t>
            </w:r>
          </w:p>
        </w:tc>
        <w:tc>
          <w:tcPr>
            <w:tcW w:w="7255" w:type="dxa"/>
            <w:gridSpan w:val="4"/>
            <w:vAlign w:val="center"/>
          </w:tcPr>
          <w:p w14:paraId="64D9E6C9">
            <w:pPr>
              <w:jc w:val="center"/>
              <w:rPr>
                <w:sz w:val="24"/>
              </w:rPr>
            </w:pPr>
            <w:r>
              <w:rPr>
                <w:rFonts w:hint="eastAsia"/>
                <w:sz w:val="24"/>
              </w:rPr>
              <w:t>中国船舶集团有限公司第七〇七研究所、中国船舶集团有限公司第七零七研究所九江分部、武汉理工大学、三峡电能有限公司</w:t>
            </w:r>
          </w:p>
        </w:tc>
      </w:tr>
      <w:tr w14:paraId="3BF8F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980" w:type="dxa"/>
            <w:vAlign w:val="center"/>
          </w:tcPr>
          <w:p w14:paraId="056D9168">
            <w:pPr>
              <w:jc w:val="center"/>
              <w:rPr>
                <w:sz w:val="24"/>
              </w:rPr>
            </w:pPr>
            <w:r>
              <w:rPr>
                <w:rFonts w:hint="eastAsia"/>
                <w:sz w:val="24"/>
              </w:rPr>
              <w:t>联系人</w:t>
            </w:r>
          </w:p>
        </w:tc>
        <w:tc>
          <w:tcPr>
            <w:tcW w:w="2171" w:type="dxa"/>
            <w:vAlign w:val="center"/>
          </w:tcPr>
          <w:p w14:paraId="331E35A5">
            <w:pPr>
              <w:jc w:val="center"/>
              <w:rPr>
                <w:sz w:val="24"/>
              </w:rPr>
            </w:pPr>
            <w:r>
              <w:rPr>
                <w:rFonts w:hint="eastAsia"/>
                <w:sz w:val="24"/>
              </w:rPr>
              <w:t>孟凡彬</w:t>
            </w:r>
          </w:p>
        </w:tc>
        <w:tc>
          <w:tcPr>
            <w:tcW w:w="850" w:type="dxa"/>
            <w:vAlign w:val="center"/>
          </w:tcPr>
          <w:p w14:paraId="0DC04B5F">
            <w:pPr>
              <w:jc w:val="center"/>
              <w:rPr>
                <w:sz w:val="24"/>
              </w:rPr>
            </w:pPr>
            <w:r>
              <w:rPr>
                <w:rFonts w:hint="eastAsia"/>
                <w:sz w:val="24"/>
              </w:rPr>
              <w:t>地址</w:t>
            </w:r>
          </w:p>
        </w:tc>
        <w:tc>
          <w:tcPr>
            <w:tcW w:w="4234" w:type="dxa"/>
            <w:gridSpan w:val="2"/>
            <w:vAlign w:val="center"/>
          </w:tcPr>
          <w:p w14:paraId="069DB19D">
            <w:pPr>
              <w:jc w:val="center"/>
              <w:rPr>
                <w:sz w:val="24"/>
              </w:rPr>
            </w:pPr>
            <w:r>
              <w:rPr>
                <w:rFonts w:hint="eastAsia"/>
                <w:sz w:val="24"/>
              </w:rPr>
              <w:t>天津市红桥区丁字沽一号路268号</w:t>
            </w:r>
          </w:p>
        </w:tc>
      </w:tr>
      <w:tr w14:paraId="5347A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980" w:type="dxa"/>
            <w:vAlign w:val="center"/>
          </w:tcPr>
          <w:p w14:paraId="47C916D0">
            <w:pPr>
              <w:jc w:val="center"/>
              <w:rPr>
                <w:sz w:val="24"/>
              </w:rPr>
            </w:pPr>
            <w:r>
              <w:rPr>
                <w:rFonts w:hint="eastAsia"/>
                <w:sz w:val="24"/>
              </w:rPr>
              <w:t>电话</w:t>
            </w:r>
          </w:p>
        </w:tc>
        <w:tc>
          <w:tcPr>
            <w:tcW w:w="2171" w:type="dxa"/>
            <w:vAlign w:val="center"/>
          </w:tcPr>
          <w:p w14:paraId="2443421B">
            <w:pPr>
              <w:jc w:val="center"/>
              <w:rPr>
                <w:sz w:val="24"/>
              </w:rPr>
            </w:pPr>
            <w:r>
              <w:rPr>
                <w:rFonts w:hint="eastAsia"/>
                <w:sz w:val="24"/>
              </w:rPr>
              <w:t>15522085515</w:t>
            </w:r>
          </w:p>
        </w:tc>
        <w:tc>
          <w:tcPr>
            <w:tcW w:w="850" w:type="dxa"/>
            <w:vAlign w:val="center"/>
          </w:tcPr>
          <w:p w14:paraId="71AA2FDB">
            <w:pPr>
              <w:jc w:val="center"/>
              <w:rPr>
                <w:sz w:val="24"/>
              </w:rPr>
            </w:pPr>
            <w:r>
              <w:rPr>
                <w:rFonts w:hint="eastAsia"/>
                <w:sz w:val="24"/>
              </w:rPr>
              <w:t>邮箱</w:t>
            </w:r>
          </w:p>
        </w:tc>
        <w:tc>
          <w:tcPr>
            <w:tcW w:w="4234" w:type="dxa"/>
            <w:gridSpan w:val="2"/>
            <w:vAlign w:val="center"/>
          </w:tcPr>
          <w:p w14:paraId="05055D2B">
            <w:pPr>
              <w:jc w:val="center"/>
              <w:rPr>
                <w:sz w:val="24"/>
              </w:rPr>
            </w:pPr>
            <w:r>
              <w:rPr>
                <w:rFonts w:hint="eastAsia"/>
                <w:sz w:val="24"/>
              </w:rPr>
              <w:t>mengfzi@163.com</w:t>
            </w:r>
          </w:p>
        </w:tc>
      </w:tr>
      <w:tr w14:paraId="77740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8" w:hRule="atLeast"/>
          <w:jc w:val="center"/>
        </w:trPr>
        <w:tc>
          <w:tcPr>
            <w:tcW w:w="1980" w:type="dxa"/>
            <w:vAlign w:val="center"/>
          </w:tcPr>
          <w:p w14:paraId="36B50024">
            <w:pPr>
              <w:jc w:val="center"/>
              <w:rPr>
                <w:sz w:val="24"/>
              </w:rPr>
            </w:pPr>
            <w:r>
              <w:rPr>
                <w:rFonts w:hint="eastAsia"/>
                <w:sz w:val="24"/>
              </w:rPr>
              <w:t>技术与市场</w:t>
            </w:r>
          </w:p>
          <w:p w14:paraId="15C4B9B3">
            <w:pPr>
              <w:jc w:val="center"/>
              <w:rPr>
                <w:sz w:val="24"/>
              </w:rPr>
            </w:pPr>
            <w:r>
              <w:rPr>
                <w:rFonts w:hint="eastAsia"/>
                <w:sz w:val="24"/>
              </w:rPr>
              <w:t>发展背景</w:t>
            </w:r>
          </w:p>
        </w:tc>
        <w:tc>
          <w:tcPr>
            <w:tcW w:w="7255" w:type="dxa"/>
            <w:gridSpan w:val="4"/>
            <w:vAlign w:val="center"/>
          </w:tcPr>
          <w:p w14:paraId="16AB6D43">
            <w:pPr>
              <w:rPr>
                <w:rFonts w:hint="eastAsia"/>
                <w:sz w:val="24"/>
              </w:rPr>
            </w:pPr>
            <w:r>
              <w:rPr>
                <w:rFonts w:hint="eastAsia"/>
                <w:sz w:val="24"/>
              </w:rPr>
              <w:t>随着沿海内河水域船舶交通流量的持续增长，船舶航行安全性和港口作业效率面临着日益严峻的压力。</w:t>
            </w:r>
            <w:r>
              <w:rPr>
                <w:rFonts w:hint="eastAsia"/>
                <w:sz w:val="24"/>
                <w:lang w:val="en-US" w:eastAsia="zh-CN"/>
              </w:rPr>
              <w:t>船舶靠离泊作业受气象、水文、港口水域限制等多种因素影响，是船舶航行中复杂且风险较高的操作。</w:t>
            </w:r>
            <w:r>
              <w:rPr>
                <w:rFonts w:hint="eastAsia"/>
                <w:sz w:val="24"/>
              </w:rPr>
              <w:t>传统的靠泊方式依赖人工操作，不仅效率低下，而且存在较大的安全隐患。</w:t>
            </w:r>
            <w:r>
              <w:rPr>
                <w:sz w:val="24"/>
              </w:rPr>
              <w:t>据统计数据显示，约</w:t>
            </w:r>
            <w:r>
              <w:rPr>
                <w:rFonts w:hint="eastAsia"/>
                <w:sz w:val="24"/>
              </w:rPr>
              <w:t>8</w:t>
            </w:r>
            <w:r>
              <w:rPr>
                <w:sz w:val="24"/>
              </w:rPr>
              <w:t>0%的</w:t>
            </w:r>
            <w:r>
              <w:rPr>
                <w:rFonts w:hint="eastAsia"/>
                <w:sz w:val="24"/>
              </w:rPr>
              <w:t>水</w:t>
            </w:r>
            <w:r>
              <w:rPr>
                <w:sz w:val="24"/>
              </w:rPr>
              <w:t>上事故发生在靠离泊阶段。</w:t>
            </w:r>
            <w:r>
              <w:rPr>
                <w:rFonts w:hint="eastAsia"/>
                <w:sz w:val="24"/>
              </w:rPr>
              <w:t>我国拥有全球最大的沿海内河资源优势，具有自动靠离泊技术研发和标准制定独特优势</w:t>
            </w:r>
            <w:r>
              <w:rPr>
                <w:rFonts w:hint="eastAsia"/>
                <w:sz w:val="24"/>
                <w:lang w:val="en-US" w:eastAsia="zh-CN"/>
              </w:rPr>
              <w:t>。</w:t>
            </w:r>
            <w:r>
              <w:rPr>
                <w:rFonts w:hint="eastAsia"/>
                <w:sz w:val="24"/>
              </w:rPr>
              <w:t>我国必须加快步伐，顺应行业智能化转型，该技术可提升船舶操作智能化水平，降低劳动强度与人为失误风险，</w:t>
            </w:r>
            <w:r>
              <w:rPr>
                <w:sz w:val="24"/>
              </w:rPr>
              <w:t>对</w:t>
            </w:r>
            <w:r>
              <w:rPr>
                <w:rFonts w:hint="eastAsia"/>
                <w:sz w:val="24"/>
              </w:rPr>
              <w:t>提高沿海内河船舶航行安全与</w:t>
            </w:r>
            <w:r>
              <w:rPr>
                <w:sz w:val="24"/>
              </w:rPr>
              <w:t>提升我国造船业国际竞争力具有</w:t>
            </w:r>
            <w:r>
              <w:rPr>
                <w:rFonts w:hint="eastAsia"/>
                <w:sz w:val="24"/>
              </w:rPr>
              <w:t>重要</w:t>
            </w:r>
            <w:r>
              <w:rPr>
                <w:sz w:val="24"/>
              </w:rPr>
              <w:t>意义。</w:t>
            </w:r>
          </w:p>
        </w:tc>
      </w:tr>
      <w:tr w14:paraId="3521B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1980" w:type="dxa"/>
            <w:vAlign w:val="center"/>
          </w:tcPr>
          <w:p w14:paraId="3FD99960">
            <w:pPr>
              <w:jc w:val="center"/>
              <w:rPr>
                <w:sz w:val="24"/>
              </w:rPr>
            </w:pPr>
            <w:r>
              <w:rPr>
                <w:rFonts w:hint="eastAsia"/>
                <w:sz w:val="24"/>
              </w:rPr>
              <w:t>标准必要性和</w:t>
            </w:r>
          </w:p>
          <w:p w14:paraId="19214737">
            <w:pPr>
              <w:jc w:val="center"/>
              <w:rPr>
                <w:sz w:val="24"/>
              </w:rPr>
            </w:pPr>
            <w:r>
              <w:rPr>
                <w:rFonts w:hint="eastAsia"/>
                <w:sz w:val="24"/>
              </w:rPr>
              <w:t>可行性</w:t>
            </w:r>
          </w:p>
        </w:tc>
        <w:tc>
          <w:tcPr>
            <w:tcW w:w="7255" w:type="dxa"/>
            <w:gridSpan w:val="4"/>
            <w:vAlign w:val="center"/>
          </w:tcPr>
          <w:p w14:paraId="22AA375B">
            <w:pPr>
              <w:rPr>
                <w:sz w:val="24"/>
              </w:rPr>
            </w:pPr>
            <w:r>
              <w:rPr>
                <w:rFonts w:hint="eastAsia"/>
                <w:sz w:val="24"/>
              </w:rPr>
              <w:t>目前沿海内河船舶自动靠离泊系统缺乏统一设计标准，各设备性能参差不齐，不同设备互不兼容，增加了系统复杂性和故障率，难以保障船舶靠离泊的安全性。制定沿海内河船舶自动靠离泊系统设计标准，能够填补沿海内河自动靠离泊技术标准空白，加快自动靠离泊技术在沿海内河船舶的快速发展</w:t>
            </w:r>
            <w:r>
              <w:rPr>
                <w:sz w:val="24"/>
              </w:rPr>
              <w:t>。</w:t>
            </w:r>
          </w:p>
          <w:p w14:paraId="7ACF0512">
            <w:pPr>
              <w:rPr>
                <w:sz w:val="24"/>
              </w:rPr>
            </w:pPr>
            <w:r>
              <w:rPr>
                <w:rFonts w:hint="eastAsia"/>
                <w:sz w:val="24"/>
              </w:rPr>
              <w:t>国内外已开展大量自动靠离泊系统的研究和实践项目，积累了丰富的经验。通过这些实践案例分析和总结，可提取自动靠离泊系统设计要求融入标准制定中，使标准更贴合实际需求和应用场景。制定沿海内河船舶自动靠离泊系统设计要求标准既十分必要，又具备可行性。</w:t>
            </w:r>
          </w:p>
        </w:tc>
      </w:tr>
      <w:tr w14:paraId="07CF8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1980" w:type="dxa"/>
            <w:vAlign w:val="center"/>
          </w:tcPr>
          <w:p w14:paraId="1AFD72E9">
            <w:pPr>
              <w:jc w:val="center"/>
              <w:rPr>
                <w:rFonts w:hint="eastAsia" w:ascii="宋体" w:hAnsi="宋体"/>
                <w:sz w:val="24"/>
              </w:rPr>
            </w:pPr>
            <w:r>
              <w:rPr>
                <w:rFonts w:hint="eastAsia" w:ascii="宋体" w:hAnsi="宋体"/>
                <w:sz w:val="24"/>
              </w:rPr>
              <w:t>国内外情况</w:t>
            </w:r>
          </w:p>
          <w:p w14:paraId="04FC776B">
            <w:pPr>
              <w:jc w:val="center"/>
              <w:rPr>
                <w:sz w:val="24"/>
              </w:rPr>
            </w:pPr>
            <w:r>
              <w:rPr>
                <w:rFonts w:hint="eastAsia" w:ascii="宋体" w:hAnsi="宋体"/>
                <w:sz w:val="24"/>
              </w:rPr>
              <w:t>简要说明</w:t>
            </w:r>
          </w:p>
        </w:tc>
        <w:tc>
          <w:tcPr>
            <w:tcW w:w="7255" w:type="dxa"/>
            <w:gridSpan w:val="4"/>
            <w:vAlign w:val="center"/>
          </w:tcPr>
          <w:p w14:paraId="704CA293">
            <w:pPr>
              <w:rPr>
                <w:sz w:val="24"/>
              </w:rPr>
            </w:pPr>
            <w:r>
              <w:rPr>
                <w:rFonts w:hint="eastAsia"/>
                <w:sz w:val="24"/>
              </w:rPr>
              <w:t>部分发达国家已制定了船舶自动靠离泊相关标准。</w:t>
            </w:r>
          </w:p>
          <w:p w14:paraId="29FD8E0C">
            <w:pPr>
              <w:rPr>
                <w:sz w:val="24"/>
              </w:rPr>
            </w:pPr>
            <w:r>
              <w:rPr>
                <w:rFonts w:hint="eastAsia"/>
                <w:sz w:val="24"/>
              </w:rPr>
              <w:t>1. 挪威船级社（DNV）的智能船舶相关规范对自动靠离泊系统功能要求、风险评估和认证流程作出规定。</w:t>
            </w:r>
          </w:p>
          <w:p w14:paraId="157F608B">
            <w:pPr>
              <w:rPr>
                <w:sz w:val="24"/>
              </w:rPr>
            </w:pPr>
            <w:r>
              <w:rPr>
                <w:rFonts w:hint="eastAsia"/>
                <w:sz w:val="24"/>
              </w:rPr>
              <w:t>2.瑞典标准研究所发布的内河船舶锚泊、系泊、拖带和靠离泊系统（SS-EN 13573:2009），规定了内河航行船舶的锚泊、连接、拖曳、牵引和系泊系统的布置、可达性和标记的安全要求，并没有涉及自动靠离泊有关标准。</w:t>
            </w:r>
          </w:p>
          <w:p w14:paraId="2A350A81">
            <w:pPr>
              <w:rPr>
                <w:sz w:val="24"/>
              </w:rPr>
            </w:pPr>
            <w:r>
              <w:rPr>
                <w:rFonts w:hint="eastAsia"/>
                <w:sz w:val="24"/>
              </w:rPr>
              <w:t>3.中国船级社（CCS）发布</w:t>
            </w:r>
            <w:r>
              <w:rPr>
                <w:rFonts w:hint="eastAsia"/>
                <w:sz w:val="24"/>
                <w:lang w:val="en-US" w:eastAsia="zh-CN"/>
              </w:rPr>
              <w:t>了</w:t>
            </w:r>
            <w:r>
              <w:rPr>
                <w:rFonts w:hint="eastAsia"/>
                <w:sz w:val="24"/>
              </w:rPr>
              <w:t>一些智能船舶相关指导性文件和标准，但对于自动靠离泊系统缺乏相关设计标准。</w:t>
            </w:r>
          </w:p>
          <w:p w14:paraId="45703F08">
            <w:pPr>
              <w:rPr>
                <w:rFonts w:hint="eastAsia"/>
                <w:sz w:val="24"/>
              </w:rPr>
            </w:pPr>
            <w:r>
              <w:rPr>
                <w:rFonts w:hint="eastAsia"/>
                <w:sz w:val="24"/>
              </w:rPr>
              <w:t>本标准针对系统所采用的新型传感器、智能算法等方面明确了条件要求、设备精度、可靠性等设计要求，以适应复杂的沿海内河靠离泊作业工况。</w:t>
            </w:r>
          </w:p>
        </w:tc>
      </w:tr>
      <w:tr w14:paraId="31C69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7" w:hRule="atLeast"/>
          <w:jc w:val="center"/>
        </w:trPr>
        <w:tc>
          <w:tcPr>
            <w:tcW w:w="1980" w:type="dxa"/>
            <w:vAlign w:val="center"/>
          </w:tcPr>
          <w:p w14:paraId="0CDF26A7">
            <w:pPr>
              <w:jc w:val="center"/>
              <w:rPr>
                <w:sz w:val="24"/>
              </w:rPr>
            </w:pPr>
            <w:r>
              <w:rPr>
                <w:rFonts w:hint="eastAsia"/>
                <w:sz w:val="24"/>
              </w:rPr>
              <w:t>标准适用范围</w:t>
            </w:r>
          </w:p>
          <w:p w14:paraId="285DBAA0">
            <w:pPr>
              <w:jc w:val="center"/>
              <w:rPr>
                <w:sz w:val="24"/>
              </w:rPr>
            </w:pPr>
            <w:r>
              <w:rPr>
                <w:rFonts w:hint="eastAsia"/>
                <w:sz w:val="24"/>
              </w:rPr>
              <w:t>和主要技术内容</w:t>
            </w:r>
          </w:p>
        </w:tc>
        <w:tc>
          <w:tcPr>
            <w:tcW w:w="7255" w:type="dxa"/>
            <w:gridSpan w:val="4"/>
            <w:vAlign w:val="center"/>
          </w:tcPr>
          <w:p w14:paraId="7D3C0C2F">
            <w:pPr>
              <w:rPr>
                <w:sz w:val="24"/>
              </w:rPr>
            </w:pPr>
            <w:r>
              <w:rPr>
                <w:rFonts w:hint="eastAsia"/>
                <w:sz w:val="24"/>
              </w:rPr>
              <w:t>本标准适用于船长20m及以上、航行于沿海和内河水域的船舶搭载自动靠离泊系统，涵盖货船、渔船、工程船、拖轮、游艇等不同类型船舶，无论是新建船舶的系统配置，还是既有船舶的智能化升级改造，都需遵循此标准规范。</w:t>
            </w:r>
          </w:p>
          <w:p w14:paraId="7258C9F7">
            <w:pPr>
              <w:rPr>
                <w:sz w:val="24"/>
              </w:rPr>
            </w:pPr>
            <w:r>
              <w:rPr>
                <w:rFonts w:hint="eastAsia"/>
                <w:sz w:val="24"/>
              </w:rPr>
              <w:t>本标准主要内容规定了船舶自动靠离泊系统的设计依据、设计准则、设计内容、设计程序、设计方法和设计验证，为沿海内河船舶自动靠离泊系统设计提供明确的指导。</w:t>
            </w:r>
          </w:p>
        </w:tc>
      </w:tr>
      <w:tr w14:paraId="6D333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1980" w:type="dxa"/>
            <w:vAlign w:val="center"/>
          </w:tcPr>
          <w:p w14:paraId="26F283D4">
            <w:pPr>
              <w:widowControl/>
              <w:jc w:val="center"/>
              <w:rPr>
                <w:rFonts w:hint="eastAsia" w:ascii="宋体" w:hAnsi="宋体"/>
                <w:sz w:val="24"/>
              </w:rPr>
            </w:pPr>
            <w:r>
              <w:rPr>
                <w:rFonts w:hint="eastAsia" w:ascii="宋体" w:hAnsi="宋体"/>
                <w:sz w:val="24"/>
              </w:rPr>
              <w:t>工作进度安排</w:t>
            </w:r>
          </w:p>
        </w:tc>
        <w:tc>
          <w:tcPr>
            <w:tcW w:w="7255" w:type="dxa"/>
            <w:gridSpan w:val="4"/>
            <w:vAlign w:val="center"/>
          </w:tcPr>
          <w:p w14:paraId="2803A05B">
            <w:pPr>
              <w:rPr>
                <w:sz w:val="24"/>
              </w:rPr>
            </w:pPr>
            <w:r>
              <w:rPr>
                <w:rFonts w:hint="eastAsia"/>
                <w:sz w:val="24"/>
              </w:rPr>
              <w:t>（1）草案提交2025-3-30</w:t>
            </w:r>
          </w:p>
          <w:p w14:paraId="43FE8520">
            <w:pPr>
              <w:rPr>
                <w:sz w:val="24"/>
              </w:rPr>
            </w:pPr>
            <w:r>
              <w:rPr>
                <w:rFonts w:hint="eastAsia"/>
                <w:sz w:val="24"/>
              </w:rPr>
              <w:t>（2）预期立项2025-4-30</w:t>
            </w:r>
          </w:p>
          <w:p w14:paraId="27513B0B">
            <w:pPr>
              <w:rPr>
                <w:sz w:val="24"/>
              </w:rPr>
            </w:pPr>
            <w:r>
              <w:rPr>
                <w:rFonts w:hint="eastAsia"/>
                <w:sz w:val="24"/>
              </w:rPr>
              <w:t>（3）发布时间2026-3-30</w:t>
            </w:r>
          </w:p>
        </w:tc>
      </w:tr>
      <w:tr w14:paraId="457BD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jc w:val="center"/>
        </w:trPr>
        <w:tc>
          <w:tcPr>
            <w:tcW w:w="1980" w:type="dxa"/>
            <w:vAlign w:val="center"/>
          </w:tcPr>
          <w:p w14:paraId="45F6FD8D">
            <w:pPr>
              <w:widowControl/>
              <w:jc w:val="center"/>
              <w:rPr>
                <w:rFonts w:hint="eastAsia" w:ascii="宋体" w:hAnsi="宋体"/>
                <w:sz w:val="24"/>
              </w:rPr>
            </w:pPr>
            <w:r>
              <w:rPr>
                <w:rFonts w:hint="eastAsia" w:ascii="宋体" w:hAnsi="宋体"/>
                <w:sz w:val="24"/>
              </w:rPr>
              <w:t>标准预期实施</w:t>
            </w:r>
          </w:p>
          <w:p w14:paraId="1EA494B8">
            <w:pPr>
              <w:widowControl/>
              <w:jc w:val="center"/>
              <w:rPr>
                <w:rFonts w:hint="eastAsia" w:ascii="宋体" w:hAnsi="宋体"/>
                <w:sz w:val="24"/>
              </w:rPr>
            </w:pPr>
            <w:r>
              <w:rPr>
                <w:rFonts w:hint="eastAsia" w:ascii="宋体" w:hAnsi="宋体"/>
                <w:sz w:val="24"/>
              </w:rPr>
              <w:t>应用方案</w:t>
            </w:r>
          </w:p>
        </w:tc>
        <w:tc>
          <w:tcPr>
            <w:tcW w:w="7255" w:type="dxa"/>
            <w:gridSpan w:val="4"/>
            <w:vAlign w:val="center"/>
          </w:tcPr>
          <w:p w14:paraId="7F2CFC67">
            <w:pPr>
              <w:ind w:firstLine="0" w:firstLineChars="0"/>
              <w:rPr>
                <w:rFonts w:hint="eastAsia"/>
                <w:sz w:val="24"/>
              </w:rPr>
            </w:pPr>
            <w:r>
              <w:rPr>
                <w:rFonts w:hint="eastAsia"/>
                <w:sz w:val="24"/>
              </w:rPr>
              <w:t>主编单位和各起草单位将积极推进标准宣传和培训，配合学会开展标准宣贯培训工作，使有关技术人员熟悉标并掌握标准的各项技术要求，加强示范效应，让标准在行业内得到广泛推广和应用，使标准的应用落到实处。</w:t>
            </w:r>
          </w:p>
          <w:p w14:paraId="32EA8271">
            <w:pPr>
              <w:rPr>
                <w:iCs/>
                <w:sz w:val="24"/>
              </w:rPr>
            </w:pPr>
            <w:r>
              <w:rPr>
                <w:rFonts w:hint="eastAsia"/>
                <w:sz w:val="24"/>
              </w:rPr>
              <w:t>主编单位和各起草单位将对标准实施应用情况进行跟踪调查，及时发现标准执行过程中的问题，不断修改完善，提高标准水平，提高标准的科学性、合理性、协调性和可操作性。</w:t>
            </w:r>
          </w:p>
        </w:tc>
      </w:tr>
      <w:tr w14:paraId="0A9BB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980" w:type="dxa"/>
            <w:vAlign w:val="center"/>
          </w:tcPr>
          <w:p w14:paraId="2FE74C4B">
            <w:pPr>
              <w:widowControl/>
              <w:jc w:val="center"/>
              <w:rPr>
                <w:rFonts w:hint="eastAsia" w:ascii="宋体" w:hAnsi="宋体"/>
                <w:sz w:val="24"/>
              </w:rPr>
            </w:pPr>
            <w:r>
              <w:rPr>
                <w:rFonts w:hint="eastAsia" w:ascii="宋体" w:hAnsi="宋体"/>
                <w:sz w:val="24"/>
              </w:rPr>
              <w:t>经费保障</w:t>
            </w:r>
          </w:p>
        </w:tc>
        <w:tc>
          <w:tcPr>
            <w:tcW w:w="7255" w:type="dxa"/>
            <w:gridSpan w:val="4"/>
            <w:vAlign w:val="center"/>
          </w:tcPr>
          <w:p w14:paraId="2D2A13E4">
            <w:pPr>
              <w:rPr>
                <w:i/>
                <w:iCs/>
                <w:sz w:val="24"/>
              </w:rPr>
            </w:pPr>
            <w:r>
              <w:rPr>
                <w:rFonts w:hint="eastAsia"/>
                <w:sz w:val="24"/>
              </w:rPr>
              <w:t>编制团队为标准编制提供必要的经费保障。</w:t>
            </w:r>
          </w:p>
        </w:tc>
      </w:tr>
      <w:tr w14:paraId="5DD48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980" w:type="dxa"/>
            <w:vAlign w:val="center"/>
          </w:tcPr>
          <w:p w14:paraId="075F1937">
            <w:pPr>
              <w:widowControl/>
              <w:jc w:val="center"/>
              <w:rPr>
                <w:rFonts w:hint="eastAsia" w:ascii="宋体" w:hAnsi="宋体"/>
                <w:sz w:val="24"/>
              </w:rPr>
            </w:pPr>
            <w:r>
              <w:rPr>
                <w:rFonts w:hint="eastAsia" w:ascii="宋体" w:hAnsi="宋体"/>
                <w:sz w:val="24"/>
              </w:rPr>
              <w:t>技术基础及</w:t>
            </w:r>
          </w:p>
          <w:p w14:paraId="3EE42E21">
            <w:pPr>
              <w:widowControl/>
              <w:jc w:val="center"/>
              <w:rPr>
                <w:rFonts w:hint="eastAsia" w:ascii="宋体" w:hAnsi="宋体"/>
                <w:sz w:val="24"/>
              </w:rPr>
            </w:pPr>
            <w:r>
              <w:rPr>
                <w:rFonts w:hint="eastAsia" w:ascii="宋体" w:hAnsi="宋体"/>
                <w:sz w:val="24"/>
              </w:rPr>
              <w:t>研究团队</w:t>
            </w:r>
          </w:p>
        </w:tc>
        <w:tc>
          <w:tcPr>
            <w:tcW w:w="7255" w:type="dxa"/>
            <w:gridSpan w:val="4"/>
            <w:vAlign w:val="center"/>
          </w:tcPr>
          <w:p w14:paraId="16361148">
            <w:pPr>
              <w:rPr>
                <w:i/>
                <w:iCs/>
                <w:sz w:val="24"/>
              </w:rPr>
            </w:pPr>
            <w:r>
              <w:rPr>
                <w:rFonts w:hint="eastAsia"/>
                <w:iCs/>
                <w:sz w:val="24"/>
              </w:rPr>
              <w:t>工信部高技术船舶科研项目“绿色智能船舶标准化引领工程”专项下属子工程四“2030型绿色智能沿海内河示范船”中任务一“沿海内河船舶智能技术研究”课题中的自动靠离泊系统工程样机可依据该标准实施。</w:t>
            </w:r>
            <w:r>
              <w:rPr>
                <w:rFonts w:hint="eastAsia"/>
                <w:sz w:val="24"/>
              </w:rPr>
              <w:t>十三五以来，研究团队依托自立项智能航行技术项目和工信部沿海内河船舶智能技术研究项目，针对船舶自动靠离泊技术展开了广泛而深入的研究，融合感知、规划、决策与控制等多种先进技术实现了不同类型船舶自动靠离泊的实践，完成了自动靠离泊系统研制，实现了双桨双舵欠驱动船舶和全驱动船舶的泊位识别、航线规划、靠离泊控制等功能，具备了顺靠离、艏艉靠离泊、掉头靠离泊等模式，无需人工干预即可完成自动靠离泊。这些研究基础和实践，为自动靠离泊系统设计要求标准的编制提供了丰富的技术案例和实践经验，验证了自动靠离泊技术的可行性和有效性，为标准中各项功能要求和技术指标的确定奠定了坚实的基础。</w:t>
            </w:r>
          </w:p>
        </w:tc>
      </w:tr>
      <w:tr w14:paraId="510B1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jc w:val="center"/>
        </w:trPr>
        <w:tc>
          <w:tcPr>
            <w:tcW w:w="1980" w:type="dxa"/>
            <w:vAlign w:val="center"/>
          </w:tcPr>
          <w:p w14:paraId="562DABE6">
            <w:pPr>
              <w:jc w:val="center"/>
              <w:rPr>
                <w:rFonts w:hint="eastAsia" w:ascii="宋体" w:hAnsi="宋体"/>
                <w:sz w:val="24"/>
              </w:rPr>
            </w:pPr>
            <w:r>
              <w:rPr>
                <w:rFonts w:hint="eastAsia" w:ascii="宋体" w:hAnsi="宋体"/>
                <w:sz w:val="24"/>
              </w:rPr>
              <w:t>申请立项单位</w:t>
            </w:r>
          </w:p>
          <w:p w14:paraId="69C2881E">
            <w:pPr>
              <w:jc w:val="center"/>
              <w:rPr>
                <w:rFonts w:hint="eastAsia" w:ascii="宋体" w:hAnsi="宋体"/>
                <w:sz w:val="24"/>
              </w:rPr>
            </w:pPr>
            <w:r>
              <w:rPr>
                <w:rFonts w:hint="eastAsia" w:ascii="宋体" w:hAnsi="宋体"/>
                <w:sz w:val="24"/>
              </w:rPr>
              <w:t>意见</w:t>
            </w:r>
          </w:p>
        </w:tc>
        <w:tc>
          <w:tcPr>
            <w:tcW w:w="7255" w:type="dxa"/>
            <w:gridSpan w:val="4"/>
            <w:vAlign w:val="bottom"/>
          </w:tcPr>
          <w:p w14:paraId="2D04445D">
            <w:pPr>
              <w:wordWrap w:val="0"/>
              <w:jc w:val="right"/>
              <w:rPr>
                <w:sz w:val="24"/>
              </w:rPr>
            </w:pPr>
            <w:r>
              <w:rPr>
                <w:rFonts w:hint="eastAsia"/>
                <w:sz w:val="24"/>
              </w:rPr>
              <w:t xml:space="preserve">（盖章）                                          </w:t>
            </w:r>
          </w:p>
          <w:p w14:paraId="491C757D">
            <w:pPr>
              <w:jc w:val="right"/>
              <w:rPr>
                <w:rFonts w:hint="eastAsia" w:ascii="黑体" w:hAnsi="宋体" w:eastAsia="黑体"/>
                <w:color w:val="000000"/>
                <w:sz w:val="24"/>
              </w:rPr>
            </w:pPr>
            <w:r>
              <w:rPr>
                <w:rFonts w:hint="eastAsia"/>
                <w:sz w:val="24"/>
              </w:rPr>
              <w:t>年   月   日</w:t>
            </w:r>
          </w:p>
        </w:tc>
      </w:tr>
    </w:tbl>
    <w:p w14:paraId="5221BCDF">
      <w:pPr>
        <w:jc w:val="left"/>
        <w:rPr>
          <w:rFonts w:ascii="仿宋_GB2312" w:eastAsia="仿宋_GB2312"/>
          <w:sz w:val="24"/>
        </w:rPr>
      </w:pPr>
      <w:r>
        <w:rPr>
          <w:rFonts w:hint="eastAsia" w:hAnsiTheme="minorEastAsia"/>
        </w:rPr>
        <w:t>注：如本表空间不够，可另附页。</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MS Mincho">
    <w:altName w:val="Segoe Print"/>
    <w:panose1 w:val="02020609040205080304"/>
    <w:charset w:val="00"/>
    <w:family w:val="auto"/>
    <w:pitch w:val="default"/>
    <w:sig w:usb0="00000000" w:usb1="00000000" w:usb2="00000000" w:usb3="00000000" w:csb0="00000000" w:csb1="00000000"/>
  </w:font>
  <w:font w:name="ＭＳ 明朝">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E3NGM4NmY1MTk1MDk2NTNiMjc3M2IzNDk5N2FhNDYifQ=="/>
  </w:docVars>
  <w:rsids>
    <w:rsidRoot w:val="00EB3B78"/>
    <w:rsid w:val="000A199E"/>
    <w:rsid w:val="00272809"/>
    <w:rsid w:val="00295FA7"/>
    <w:rsid w:val="002B024D"/>
    <w:rsid w:val="00300BF2"/>
    <w:rsid w:val="00317B17"/>
    <w:rsid w:val="003257CD"/>
    <w:rsid w:val="003F0615"/>
    <w:rsid w:val="00426DD8"/>
    <w:rsid w:val="00471233"/>
    <w:rsid w:val="00505991"/>
    <w:rsid w:val="0059456C"/>
    <w:rsid w:val="005E7D40"/>
    <w:rsid w:val="006771A0"/>
    <w:rsid w:val="00716D15"/>
    <w:rsid w:val="00776942"/>
    <w:rsid w:val="007860E5"/>
    <w:rsid w:val="0079276B"/>
    <w:rsid w:val="007D225D"/>
    <w:rsid w:val="007D6920"/>
    <w:rsid w:val="0082127A"/>
    <w:rsid w:val="00822297"/>
    <w:rsid w:val="00837D5D"/>
    <w:rsid w:val="008842C3"/>
    <w:rsid w:val="00915110"/>
    <w:rsid w:val="0096645F"/>
    <w:rsid w:val="00987BA2"/>
    <w:rsid w:val="00B179E9"/>
    <w:rsid w:val="00B439F8"/>
    <w:rsid w:val="00B55869"/>
    <w:rsid w:val="00BA68EB"/>
    <w:rsid w:val="00BF659F"/>
    <w:rsid w:val="00C3423D"/>
    <w:rsid w:val="00C90024"/>
    <w:rsid w:val="00CE5ADD"/>
    <w:rsid w:val="00D4418D"/>
    <w:rsid w:val="00EB3B78"/>
    <w:rsid w:val="00EC1447"/>
    <w:rsid w:val="00EE6F3C"/>
    <w:rsid w:val="00FB1580"/>
    <w:rsid w:val="00FC22B1"/>
    <w:rsid w:val="00FE0B53"/>
    <w:rsid w:val="00FE4D8C"/>
    <w:rsid w:val="01D6556A"/>
    <w:rsid w:val="25B32A44"/>
    <w:rsid w:val="34741C25"/>
    <w:rsid w:val="3C3F2833"/>
    <w:rsid w:val="42CD36EE"/>
    <w:rsid w:val="6E7B2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Times New Roman" w:asciiTheme="minorEastAsia" w:hAnsiTheme="minorHAnsi" w:eastAsiaTheme="minorEastAsia"/>
      <w:snapToGrid w:val="0"/>
      <w:sz w:val="21"/>
      <w:szCs w:val="21"/>
      <w:lang w:val="en-GB" w:eastAsia="zh-CN" w:bidi="ar-SA"/>
    </w:rPr>
  </w:style>
  <w:style w:type="paragraph" w:styleId="2">
    <w:name w:val="heading 3"/>
    <w:basedOn w:val="1"/>
    <w:link w:val="11"/>
    <w:qFormat/>
    <w:uiPriority w:val="9"/>
    <w:pPr>
      <w:widowControl/>
      <w:spacing w:before="100" w:beforeAutospacing="1" w:after="100" w:afterAutospacing="1"/>
      <w:jc w:val="left"/>
      <w:outlineLvl w:val="2"/>
    </w:pPr>
    <w:rPr>
      <w:rFonts w:ascii="宋体" w:hAnsi="宋体" w:eastAsia="宋体" w:cs="宋体"/>
      <w:b/>
      <w:bCs/>
      <w:snapToGrid/>
      <w:sz w:val="27"/>
      <w:szCs w:val="27"/>
      <w:lang w:val="en-US"/>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tabs>
        <w:tab w:val="center" w:pos="4153"/>
        <w:tab w:val="right" w:pos="8306"/>
      </w:tabs>
      <w:snapToGrid w:val="0"/>
      <w:jc w:val="center"/>
    </w:pPr>
    <w:rPr>
      <w:sz w:val="18"/>
      <w:szCs w:val="18"/>
    </w:rPr>
  </w:style>
  <w:style w:type="paragraph" w:styleId="5">
    <w:name w:val="Normal (Web)"/>
    <w:basedOn w:val="1"/>
    <w:semiHidden/>
    <w:unhideWhenUsed/>
    <w:uiPriority w:val="99"/>
    <w:pPr>
      <w:widowControl/>
      <w:spacing w:before="100" w:beforeAutospacing="1" w:after="100" w:afterAutospacing="1"/>
      <w:jc w:val="left"/>
    </w:pPr>
    <w:rPr>
      <w:rFonts w:ascii="宋体" w:hAnsi="宋体" w:eastAsia="宋体" w:cs="宋体"/>
      <w:snapToGrid/>
      <w:sz w:val="24"/>
      <w:szCs w:val="24"/>
      <w:lang w:val="en-US"/>
    </w:rPr>
  </w:style>
  <w:style w:type="paragraph" w:styleId="8">
    <w:name w:val="List Paragraph"/>
    <w:basedOn w:val="1"/>
    <w:qFormat/>
    <w:uiPriority w:val="34"/>
    <w:pPr>
      <w:ind w:firstLine="420" w:firstLineChars="200"/>
    </w:pPr>
  </w:style>
  <w:style w:type="character" w:customStyle="1" w:styleId="9">
    <w:name w:val="页眉 字符"/>
    <w:basedOn w:val="7"/>
    <w:link w:val="4"/>
    <w:qFormat/>
    <w:uiPriority w:val="99"/>
    <w:rPr>
      <w:rFonts w:cs="Times New Roman" w:asciiTheme="minorEastAsia"/>
      <w:snapToGrid w:val="0"/>
      <w:sz w:val="18"/>
      <w:szCs w:val="18"/>
      <w:lang w:val="en-GB"/>
    </w:rPr>
  </w:style>
  <w:style w:type="character" w:customStyle="1" w:styleId="10">
    <w:name w:val="页脚 字符"/>
    <w:basedOn w:val="7"/>
    <w:link w:val="3"/>
    <w:qFormat/>
    <w:uiPriority w:val="99"/>
    <w:rPr>
      <w:rFonts w:cs="Times New Roman" w:asciiTheme="minorEastAsia"/>
      <w:snapToGrid w:val="0"/>
      <w:sz w:val="18"/>
      <w:szCs w:val="18"/>
      <w:lang w:val="en-GB"/>
    </w:rPr>
  </w:style>
  <w:style w:type="character" w:customStyle="1" w:styleId="11">
    <w:name w:val="标题 3 字符"/>
    <w:basedOn w:val="7"/>
    <w:link w:val="2"/>
    <w:uiPriority w:val="9"/>
    <w:rPr>
      <w:rFonts w:ascii="宋体" w:hAnsi="宋体" w:eastAsia="宋体" w:cs="宋体"/>
      <w:b/>
      <w:bCs/>
      <w:sz w:val="27"/>
      <w:szCs w:val="27"/>
    </w:rPr>
  </w:style>
  <w:style w:type="paragraph" w:customStyle="1" w:styleId="12">
    <w:name w:val="Revision"/>
    <w:hidden/>
    <w:unhideWhenUsed/>
    <w:qFormat/>
    <w:uiPriority w:val="99"/>
    <w:rPr>
      <w:rFonts w:cs="Times New Roman" w:asciiTheme="minorEastAsia" w:hAnsiTheme="minorHAnsi" w:eastAsiaTheme="minorEastAsia"/>
      <w:snapToGrid w:val="0"/>
      <w:sz w:val="21"/>
      <w:szCs w:val="21"/>
      <w:lang w:val="en-GB"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1561</Words>
  <Characters>1690</Characters>
  <Lines>19</Lines>
  <Paragraphs>5</Paragraphs>
  <TotalTime>15</TotalTime>
  <ScaleCrop>false</ScaleCrop>
  <LinksUpToDate>false</LinksUpToDate>
  <CharactersWithSpaces>1726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2022-08-15T06:27:00Z</dcterms:created>
  <dc:creator>user</dc:creator>
  <cp:lastModifiedBy>孟凡彬</cp:lastModifiedBy>
  <dcterms:modified xsi:type="dcterms:W3CDTF">2025-03-27T11:59:36Z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3481CC8DB3C4435397BD0ED17F655CC3_13</vt:lpwstr>
  </property>
  <property fmtid="{D5CDD505-2E9C-101B-9397-08002B2CF9AE}" pid="4" name="KSOTemplateDocerSaveRecord">
    <vt:lpwstr>eyJoZGlkIjoiNDRlNzZiN2NlYzVjODVhNWUxNDY2YzI2NGZkNWFjMzQiLCJ1c2VySWQiOiIzMzk4MzI1NjEifQ==</vt:lpwstr>
  </property>
</Properties>
</file>